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Fonts w:ascii="Quattrocento Sans" w:cs="Quattrocento Sans" w:eastAsia="Quattrocento Sans" w:hAnsi="Quattrocento Sans"/>
          <w:sz w:val="60"/>
          <w:szCs w:val="60"/>
          <w:rtl w:val="0"/>
        </w:rPr>
        <w:t xml:space="preserve">🛡️</w:t>
      </w:r>
      <w:r w:rsidDel="00000000" w:rsidR="00000000" w:rsidRPr="00000000">
        <w:rPr>
          <w:sz w:val="60"/>
          <w:szCs w:val="60"/>
          <w:rtl w:val="0"/>
        </w:rPr>
        <w:t xml:space="preserve"> Writing Well – Safeguarding Statement</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5486400" cy="3657600"/>
            <wp:effectExtent b="0" l="0" r="0" t="0"/>
            <wp:docPr descr="Photo of boulders on beach in bright sunshine" id="1" name="image1.png"/>
            <a:graphic>
              <a:graphicData uri="http://schemas.openxmlformats.org/drawingml/2006/picture">
                <pic:pic>
                  <pic:nvPicPr>
                    <pic:cNvPr descr="Photo of boulders on beach in bright sunshine" id="0" name="image1.png"/>
                    <pic:cNvPicPr preferRelativeResize="0"/>
                  </pic:nvPicPr>
                  <pic:blipFill>
                    <a:blip r:embed="rId6"/>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Writing Well is committed to providing a safe, respectful, and supportive environment for all participants. While this group is not a therapy or clinical service, it often holds deeply personal and emotional expression. As such, safeguarding the wellbeing of everyone involved is a core responsibility.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Safeguarding Principles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Every participant has the right to feel safe, heard, and respected.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do not tolerate any form of harassment, abuse, discrimination, or bullying—in person or online.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All group facilitators and volunteers are expected to act with compassion, discretion, and professionalism.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Any concerns relating to emotional distress, safety, or inappropriate behaviour will be taken seriously and responded to appropriately.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Group Boundaries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Participants are encouraged to share only what feels safe. No one is required to disclose anything personal unless they wish to do so.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If a participant appears to be at risk of harm to themselves or others, the facilitator may need to gently break confidentiality to seek further help—always with compassion and discretion. Every effort will be made to discuss this with those concerned beforehand.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Writing shared in the group remains confidential and must not be copied or discussed outside without permission.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group is a non-judgemental, inclusive space welcoming people of all faiths or none, and we ask that all interactions reflect mutual respect.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If You Have a Concern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If you feel unsafe, uncomfortable, or concerned about another group members wellbeing, please speak directly with the group facilitator in person or via private message. All concerns will be handled with care and in line with appropriate safeguarding guidance. Paula AnneThwaite, </w:t>
      </w:r>
      <w:hyperlink r:id="rId7">
        <w:r w:rsidDel="00000000" w:rsidR="00000000" w:rsidRPr="00000000">
          <w:rPr>
            <w:color w:val="1155cc"/>
            <w:u w:val="single"/>
            <w:rtl w:val="0"/>
          </w:rPr>
          <w:t xml:space="preserve">paulaanne@writingwell.net</w:t>
        </w:r>
      </w:hyperlink>
      <w:r w:rsidDel="00000000" w:rsidR="00000000" w:rsidRPr="00000000">
        <w:rPr>
          <w:rtl w:val="0"/>
        </w:rPr>
        <w:t xml:space="preserve"> or 07969 849294 </w:t>
      </w:r>
    </w:p>
    <w:p w:rsidR="00000000" w:rsidDel="00000000" w:rsidP="00000000" w:rsidRDefault="00000000" w:rsidRPr="00000000" w14:paraId="0000001C">
      <w:pPr>
        <w:rPr/>
      </w:pP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In Case of Emergency</w:t>
      </w:r>
    </w:p>
    <w:p w:rsidR="00000000" w:rsidDel="00000000" w:rsidP="00000000" w:rsidRDefault="00000000" w:rsidRPr="00000000" w14:paraId="0000001E">
      <w:pPr>
        <w:rPr/>
      </w:pPr>
      <w:r w:rsidDel="00000000" w:rsidR="00000000" w:rsidRPr="00000000">
        <w:rPr>
          <w:rtl w:val="0"/>
        </w:rPr>
        <w:t xml:space="preserve">In the event of an immediate risk to someone’s safety, please contact emergency services: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999 – If someone is in immediate danger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101 – Non-emergency police line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Or refer to the self-help contacts provided in our Confidentiality &amp; Support Statement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Writing Well is here to support creative growth, gentle self-expression, and emotional resilience. Safeguarding that space is our shared responsibility.</w:t>
      </w:r>
    </w:p>
    <w:p w:rsidR="00000000" w:rsidDel="00000000" w:rsidP="00000000" w:rsidRDefault="00000000" w:rsidRPr="00000000" w14:paraId="00000029">
      <w:pPr>
        <w:rPr/>
      </w:pPr>
      <w:r w:rsidDel="00000000" w:rsidR="00000000" w:rsidRPr="00000000">
        <w:rPr>
          <w:rtl w:val="0"/>
        </w:rPr>
        <w:t xml:space="preserve">If a safeguarding situation arises, every effort will be made to discuss this in private with the people/persons concerned before any action is taken to break confidentiality. We respect your honour.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Prepared by:</w:t>
      </w:r>
    </w:p>
    <w:p w:rsidR="00000000" w:rsidDel="00000000" w:rsidP="00000000" w:rsidRDefault="00000000" w:rsidRPr="00000000" w14:paraId="0000002C">
      <w:pPr>
        <w:rPr/>
      </w:pPr>
      <w:r w:rsidDel="00000000" w:rsidR="00000000" w:rsidRPr="00000000">
        <w:rPr>
          <w:rtl w:val="0"/>
        </w:rPr>
        <w:t xml:space="preserve">Paula Anne Thwaite</w:t>
      </w:r>
    </w:p>
    <w:p w:rsidR="00000000" w:rsidDel="00000000" w:rsidP="00000000" w:rsidRDefault="00000000" w:rsidRPr="00000000" w14:paraId="0000002D">
      <w:pPr>
        <w:rPr/>
      </w:pPr>
      <w:r w:rsidDel="00000000" w:rsidR="00000000" w:rsidRPr="00000000">
        <w:rPr>
          <w:rtl w:val="0"/>
        </w:rPr>
        <w:t xml:space="preserve">Founder &amp; Lead Facilitator, Writing Well</w:t>
      </w:r>
    </w:p>
    <w:p w:rsidR="00000000" w:rsidDel="00000000" w:rsidP="00000000" w:rsidRDefault="00000000" w:rsidRPr="00000000" w14:paraId="0000002E">
      <w:pPr>
        <w:rPr/>
      </w:pPr>
      <w:hyperlink r:id="rId8">
        <w:r w:rsidDel="00000000" w:rsidR="00000000" w:rsidRPr="00000000">
          <w:rPr>
            <w:color w:val="34b6c3"/>
            <w:u w:val="single"/>
            <w:rtl w:val="0"/>
          </w:rPr>
          <w:t xml:space="preserve">www.writingwell.net</w:t>
        </w:r>
      </w:hyperlink>
      <w:r w:rsidDel="00000000" w:rsidR="00000000" w:rsidRPr="00000000">
        <w:rPr>
          <w:rtl w:val="0"/>
        </w:rPr>
        <w:t xml:space="preserve"> </w:t>
      </w:r>
      <w:hyperlink r:id="rId9">
        <w:r w:rsidDel="00000000" w:rsidR="00000000" w:rsidRPr="00000000">
          <w:rPr>
            <w:color w:val="34b6c3"/>
            <w:u w:val="single"/>
            <w:rtl w:val="0"/>
          </w:rPr>
          <w:t xml:space="preserve">paulaanne@writingwell.net</w:t>
        </w:r>
      </w:hyperlink>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Paula Thwaite (07969 849294)</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footerReference r:id="rId10" w:type="default"/>
      <w:pgSz w:h="16839" w:w="11907" w:orient="portrait"/>
      <w:pgMar w:bottom="1584" w:top="1080"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0"/>
        <w:sz w:val="24"/>
        <w:szCs w:val="24"/>
        <w:lang w:val="en_GB"/>
      </w:rPr>
    </w:rPrDefault>
    <w:pPrDefault>
      <w:pPr>
        <w:spacing w:after="360" w:line="26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60" w:before="400" w:lineRule="auto"/>
    </w:pPr>
    <w:rPr>
      <w:rFonts w:ascii="Arial" w:cs="Arial" w:eastAsia="Arial" w:hAnsi="Arial"/>
      <w:b w:val="1"/>
      <w:color w:val="45454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120" w:before="340" w:lineRule="auto"/>
    </w:pPr>
    <w:rPr>
      <w:rFonts w:ascii="Arial" w:cs="Arial" w:eastAsia="Arial" w:hAnsi="Arial"/>
      <w:color w:val="ff7a00"/>
    </w:rPr>
  </w:style>
  <w:style w:type="paragraph" w:styleId="Heading5">
    <w:name w:val="heading 5"/>
    <w:basedOn w:val="Normal"/>
    <w:next w:val="Normal"/>
    <w:pPr>
      <w:keepNext w:val="1"/>
      <w:keepLines w:val="1"/>
      <w:spacing w:after="120" w:before="340" w:lineRule="auto"/>
    </w:pPr>
    <w:rPr>
      <w:rFonts w:ascii="Arial" w:cs="Arial" w:eastAsia="Arial" w:hAnsi="Arial"/>
      <w:i w:val="1"/>
      <w:color w:val="ff7a00"/>
    </w:rPr>
  </w:style>
  <w:style w:type="paragraph" w:styleId="Heading6">
    <w:name w:val="heading 6"/>
    <w:basedOn w:val="Normal"/>
    <w:next w:val="Normal"/>
    <w:pPr>
      <w:keepNext w:val="1"/>
      <w:keepLines w:val="1"/>
      <w:spacing w:after="120" w:before="340" w:lineRule="auto"/>
    </w:pPr>
    <w:rPr>
      <w:rFonts w:ascii="Arial" w:cs="Arial" w:eastAsia="Arial" w:hAnsi="Arial"/>
      <w:b w:val="1"/>
      <w:color w:val="ff7a00"/>
      <w:sz w:val="20"/>
      <w:szCs w:val="20"/>
    </w:rPr>
  </w:style>
  <w:style w:type="paragraph" w:styleId="Title">
    <w:name w:val="Title"/>
    <w:basedOn w:val="Normal"/>
    <w:next w:val="Normal"/>
    <w:pPr>
      <w:pBdr>
        <w:bottom w:color="ff7a00" w:space="22" w:sz="48" w:val="single"/>
      </w:pBdr>
      <w:spacing w:after="400" w:line="240" w:lineRule="auto"/>
    </w:pPr>
    <w:rPr>
      <w:rFonts w:ascii="Arial" w:cs="Arial" w:eastAsia="Arial" w:hAnsi="Arial"/>
      <w:b w:val="1"/>
      <w:color w:val="454541"/>
      <w:sz w:val="60"/>
      <w:szCs w:val="60"/>
    </w:rPr>
  </w:style>
  <w:style w:type="paragraph" w:styleId="Subtitle">
    <w:name w:val="Subtitle"/>
    <w:basedOn w:val="Normal"/>
    <w:next w:val="Normal"/>
    <w:pPr>
      <w:spacing w:after="480" w:lineRule="auto"/>
    </w:pPr>
    <w:rPr>
      <w:color w:val="ff7a00"/>
      <w:sz w:val="34"/>
      <w:szCs w:val="3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paulaanne@writingwell.ne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ulaanne@writingwell.net" TargetMode="External"/><Relationship Id="rId8" Type="http://schemas.openxmlformats.org/officeDocument/2006/relationships/hyperlink" Target="http://www.writingwe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